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B4" w:rsidRPr="00EC7921" w:rsidRDefault="00CA4B9D" w:rsidP="00EC79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>Таптанайская 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808B4" w:rsidRPr="00EC7921" w:rsidRDefault="00EC79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0"/>
        <w:gridCol w:w="7422"/>
        <w:gridCol w:w="1953"/>
      </w:tblGrid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EC7921" w:rsidP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Педаппгогическим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Таптанайская 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риказом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 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74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74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13.01.2023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7808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921" w:rsidRDefault="00CA4B9D" w:rsidP="00EC7921">
      <w:pPr>
        <w:jc w:val="center"/>
        <w:rPr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EC7921" w:rsidRPr="000846DD" w:rsidRDefault="00EC7921" w:rsidP="00EC79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46D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846D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Таптанайская с</w:t>
      </w:r>
      <w:r w:rsidRPr="000846DD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0846D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0846DD">
        <w:rPr>
          <w:lang w:val="ru-RU"/>
        </w:rPr>
        <w:br/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</w:p>
    <w:p w:rsidR="007808B4" w:rsidRPr="00EC7921" w:rsidRDefault="00780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780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EC79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с.Таптанай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7808B4" w:rsidRPr="00EC7921" w:rsidRDefault="007808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7808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C7921">
        <w:rPr>
          <w:lang w:val="ru-RU"/>
        </w:rPr>
        <w:br/>
      </w:r>
      <w:r w:rsidR="00EC7921" w:rsidRPr="00EC7921">
        <w:rPr>
          <w:rFonts w:hAnsi="Times New Roman" w:cs="Times New Roman"/>
          <w:b/>
          <w:color w:val="000000"/>
          <w:sz w:val="24"/>
          <w:szCs w:val="24"/>
          <w:lang w:val="ru-RU"/>
        </w:rPr>
        <w:t>МАОУ «Таптанайская средняя общеобразовательная школа»</w:t>
      </w:r>
      <w:r w:rsidR="00EC7921" w:rsidRPr="00EC7921">
        <w:rPr>
          <w:b/>
          <w:lang w:val="ru-RU"/>
        </w:rPr>
        <w:br/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8"/>
        <w:gridCol w:w="15017"/>
      </w:tblGrid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EC7921" w:rsidP="00EC7921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автоном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Таптанайская 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редняя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 w:rsidP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921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«Таптанайская средняя общеобразовательная школа»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привлекаются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Мижитдоржиев Д.Д.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08B4" w:rsidRDefault="00EC7921" w:rsidP="00EC79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Жамбалдоржиева Ц.Д.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4B9D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CA4B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7921" w:rsidRPr="00EC7921" w:rsidRDefault="00EC7921" w:rsidP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Зияитдинова Н.Н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 w:rsidP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7921"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«Таптанайская средняя общеобразовательная школа»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правовая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29.12.2012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273-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24.09.2022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371-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4.4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«Образование»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президиумом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24.12.2018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16).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«Современная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«Успех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2017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2030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09.05.2017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203.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нцепция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общенациональной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Президентом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03.04.2012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-827.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29.11.2014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2403-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21.06.2021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-126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ведомственной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проявивших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выдающиеся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2030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31.03.2022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678-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29.05.2015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996-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286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-2021).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-2021).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06.10.2009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373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1897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16.11.2022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992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16.11.2022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993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23.11.2022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1014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23.03.2020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117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вляющихся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27.07.2022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629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09.11.2021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-1968/04.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10.11.2021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-1983/04.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07-6179.</w:t>
            </w:r>
          </w:p>
          <w:p w:rsidR="007808B4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15.08.2022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-2332/06.</w:t>
            </w:r>
          </w:p>
          <w:p w:rsidR="007808B4" w:rsidRPr="00EC7921" w:rsidRDefault="00CA4B9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27.12.2021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-31/06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7808B4" w:rsidP="00EC792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зультатов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овысить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индикаторы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успешности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тветствующие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иностранцев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8B4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спитания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оличество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произошедшие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аказу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зультаты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высокотехнологической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ациональных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талантливых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пришкольного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ОРВИ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инфекции</w:t>
            </w:r>
          </w:p>
        </w:tc>
      </w:tr>
      <w:tr w:rsidR="007808B4" w:rsidRPr="00EC7921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миссия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управления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реализацией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808B4" w:rsidRDefault="00CA4B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йте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08B4" w:rsidRPr="00EC7921" w:rsidRDefault="00CA4B9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ВР </w:t>
            </w:r>
          </w:p>
          <w:p w:rsidR="007808B4" w:rsidRDefault="00CA4B9D" w:rsidP="00EC792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808B4" w:rsidTr="00EC79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Ресурсное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</w:tbl>
    <w:p w:rsidR="007808B4" w:rsidRDefault="00CA4B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Интеграция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существующими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психическое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стажировок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7808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стратегический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управленческий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направляющий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отраж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целостные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инновационный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сопровождающиеся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целевым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серию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«Береги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детства»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«Первые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шаги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профессии»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08B4" w:rsidRPr="00EC7921" w:rsidRDefault="00CA4B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последовательная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посредст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интеграция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7808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&lt;...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&gt;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школой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>108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C7921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дневная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занятость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lang w:val="ru-RU"/>
        </w:rPr>
        <w:br/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кружками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секциями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внебюджетной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37,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703,7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компьютерный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65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100,2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103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47,1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8B4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столовая</w:t>
      </w:r>
      <w:r>
        <w:rPr>
          <w:rFonts w:hAnsi="Times New Roman" w:cs="Times New Roman"/>
          <w:color w:val="000000"/>
          <w:sz w:val="24"/>
          <w:szCs w:val="24"/>
        </w:rPr>
        <w:t xml:space="preserve"> (60 </w:t>
      </w:r>
      <w:r>
        <w:rPr>
          <w:rFonts w:hAnsi="Times New Roman" w:cs="Times New Roman"/>
          <w:color w:val="000000"/>
          <w:sz w:val="24"/>
          <w:szCs w:val="24"/>
        </w:rPr>
        <w:t>посадочных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808B4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Default="00CA4B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15,6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08B4" w:rsidRPr="00EC7921" w:rsidRDefault="00CA4B9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12,4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EC79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кружками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общекультурное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="00CA4B9D" w:rsidRPr="00EC79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08B4" w:rsidRPr="00EC7921" w:rsidRDefault="007808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основополагающих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подготовиться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высокотехнологичном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конкурентном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гуманистического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ериода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комфорта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толерантных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Сбережение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качественное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пополне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Default="00CA4B9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очие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языковой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социокультурной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иностранных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ихся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иностранцев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советника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воспитанию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ействию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детскими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общественными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советника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локаль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сотруд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ничества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оказывающими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клуба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сотрудн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ичества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оказывающими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нового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нозологии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Внутренний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аккредитационным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показателям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утвердят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аций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выявятся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Цифровизация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процессов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полити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Совершенствование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ктуализировать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планомерно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08B4" w:rsidRPr="00EC7921" w:rsidRDefault="00CA4B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механизировать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складировании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колебаний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08B4" w:rsidRPr="00EC7921" w:rsidRDefault="00CA4B9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обустроить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реконструировать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обогрева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укрытий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антитеррористич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еской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защищенности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достаточности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интегрировать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Продолжение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ОРВИ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инфекции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эпидемиологическую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ОРИЕНТИРЫ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МИССИЯ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еализации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9644"/>
        <w:gridCol w:w="2490"/>
        <w:gridCol w:w="1648"/>
        <w:gridCol w:w="4846"/>
      </w:tblGrid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Переход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федеральные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ФООП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огласованию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Внесение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обновленным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языковой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адаптации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советника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воспитанию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детскими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общественными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объединениями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 w:rsidP="00EC79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7808B4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театра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сопутствующие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оказывающими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«Театральный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Щукина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Вахтангова»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7808B4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клуба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сопутствующие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нового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Порядка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устаревшие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материальную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нозологии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7808B4" w:rsidRPr="00EC7921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lang w:val="ru-RU"/>
              </w:rPr>
            </w:pP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9.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процессов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7808B4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7808B4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7808B4" w:rsidRPr="00EC7921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усилению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антикризисным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7808B4" w:rsidTr="00EC792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коронавируса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ОРВИ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отказаться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7808B4" w:rsidT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</w:tbl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7808B4" w:rsidRDefault="00CA4B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Информатизация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партнерств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талантливыми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инновационными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Pr="00EC7921" w:rsidRDefault="00CA4B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C79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08B4" w:rsidRDefault="007808B4" w:rsidP="00EC7921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7808B4" w:rsidRPr="00EC7921" w:rsidRDefault="00CA4B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раммы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</w:tblGrid>
      <w:tr w:rsidR="00780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7808B4" w:rsidRP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-2021)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08B4" w:rsidRP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эффективная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08B4" w:rsidRP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функционируют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08B4" w:rsidRP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35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овационные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08B4" w:rsidRPr="00EC79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снизилось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80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Default="00CA4B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808B4" w:rsidRPr="00EC7921" w:rsidRDefault="00CA4B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C79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CA4B9D" w:rsidRDefault="00CA4B9D"/>
    <w:sectPr w:rsidR="00CA4B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43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16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517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67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55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617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63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B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42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8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02D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1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08B4"/>
    <w:rsid w:val="00B73A5A"/>
    <w:rsid w:val="00CA4B9D"/>
    <w:rsid w:val="00E438A1"/>
    <w:rsid w:val="00EC792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049C-914B-4313-8AFA-F0257A18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4821</Words>
  <Characters>27483</Characters>
  <Application>Microsoft Office Word</Application>
  <DocSecurity>0</DocSecurity>
  <Lines>229</Lines>
  <Paragraphs>64</Paragraphs>
  <ScaleCrop>false</ScaleCrop>
  <Company/>
  <LinksUpToDate>false</LinksUpToDate>
  <CharactersWithSpaces>32240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</cp:lastModifiedBy>
  <cp:revision>2</cp:revision>
  <dcterms:created xsi:type="dcterms:W3CDTF">2011-11-02T04:15:00Z</dcterms:created>
  <dcterms:modified xsi:type="dcterms:W3CDTF">2023-03-28T06:08:00Z</dcterms:modified>
</cp:coreProperties>
</file>